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68" w:rsidRPr="00CF12BD" w:rsidRDefault="007A3B68" w:rsidP="0033039A">
      <w:pPr>
        <w:rPr>
          <w:lang w:val="nl-NL"/>
        </w:rPr>
      </w:pPr>
    </w:p>
    <w:p w:rsidR="0033039A" w:rsidRPr="00CF12BD" w:rsidRDefault="0033039A" w:rsidP="0033039A">
      <w:pPr>
        <w:rPr>
          <w:b/>
          <w:lang w:val="nl-NL"/>
        </w:rPr>
      </w:pPr>
      <w:r w:rsidRPr="00CF12BD">
        <w:rPr>
          <w:b/>
          <w:lang w:val="nl-NL"/>
        </w:rPr>
        <w:t xml:space="preserve">Belangrijke risico-informatie voor patiënten die een </w:t>
      </w:r>
      <w:proofErr w:type="spellStart"/>
      <w:r w:rsidRPr="00CF12BD">
        <w:rPr>
          <w:b/>
          <w:lang w:val="nl-NL"/>
        </w:rPr>
        <w:t>GlucaGen</w:t>
      </w:r>
      <w:proofErr w:type="spellEnd"/>
      <w:r w:rsidRPr="00CF12BD">
        <w:rPr>
          <w:b/>
          <w:vertAlign w:val="superscript"/>
          <w:lang w:val="nl-NL"/>
        </w:rPr>
        <w:t>®</w:t>
      </w:r>
      <w:r w:rsidRPr="00CF12BD">
        <w:rPr>
          <w:b/>
          <w:lang w:val="nl-NL"/>
        </w:rPr>
        <w:t xml:space="preserve"> </w:t>
      </w:r>
      <w:proofErr w:type="spellStart"/>
      <w:r w:rsidRPr="00CF12BD">
        <w:rPr>
          <w:b/>
          <w:lang w:val="nl-NL"/>
        </w:rPr>
        <w:t>HypoKit</w:t>
      </w:r>
      <w:proofErr w:type="spellEnd"/>
      <w:r w:rsidRPr="00CF12BD">
        <w:rPr>
          <w:b/>
          <w:lang w:val="nl-NL"/>
        </w:rPr>
        <w:t xml:space="preserve"> (glucagon) hebben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  <w:r w:rsidRPr="00CF12BD">
        <w:rPr>
          <w:lang w:val="nl-NL"/>
        </w:rPr>
        <w:t>Geachte heer</w:t>
      </w:r>
      <w:r w:rsidR="00996A70">
        <w:rPr>
          <w:lang w:val="nl-NL"/>
        </w:rPr>
        <w:t>,</w:t>
      </w:r>
      <w:r w:rsidRPr="00CF12BD">
        <w:rPr>
          <w:lang w:val="nl-NL"/>
        </w:rPr>
        <w:t xml:space="preserve"> mevrouw,</w:t>
      </w:r>
    </w:p>
    <w:p w:rsidR="0033039A" w:rsidRPr="00CF12BD" w:rsidRDefault="0033039A" w:rsidP="0033039A">
      <w:pPr>
        <w:rPr>
          <w:lang w:val="nl-NL"/>
        </w:rPr>
      </w:pPr>
    </w:p>
    <w:p w:rsidR="0033039A" w:rsidRPr="00096E95" w:rsidRDefault="0033039A" w:rsidP="00096E95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nl-NL" w:eastAsia="en-GB"/>
        </w:rPr>
      </w:pPr>
      <w:r w:rsidRPr="00CF12BD">
        <w:rPr>
          <w:lang w:val="nl-NL"/>
        </w:rPr>
        <w:t xml:space="preserve">De fabrikant van </w:t>
      </w:r>
      <w:proofErr w:type="spellStart"/>
      <w:r w:rsidRPr="00CF12BD">
        <w:rPr>
          <w:lang w:val="nl-NL"/>
        </w:rPr>
        <w:t>GlucaGen</w:t>
      </w:r>
      <w:proofErr w:type="spellEnd"/>
      <w:r w:rsidRPr="00CF12BD">
        <w:rPr>
          <w:vertAlign w:val="superscript"/>
          <w:lang w:val="nl-NL"/>
        </w:rPr>
        <w:t>®</w:t>
      </w:r>
      <w:r w:rsidRPr="00CF12BD">
        <w:rPr>
          <w:lang w:val="nl-NL"/>
        </w:rPr>
        <w:t xml:space="preserve"> </w:t>
      </w:r>
      <w:proofErr w:type="spellStart"/>
      <w:r w:rsidRPr="00CF12BD">
        <w:rPr>
          <w:lang w:val="nl-NL"/>
        </w:rPr>
        <w:t>HypoKit</w:t>
      </w:r>
      <w:proofErr w:type="spellEnd"/>
      <w:r w:rsidRPr="00CF12BD">
        <w:rPr>
          <w:lang w:val="nl-NL"/>
        </w:rPr>
        <w:t xml:space="preserve"> (glucagon), Novo Nordisk, heeft aangekondigd een aantal charges terug te roepen van de markt. Glucagon wordt gebruikt voor de behandeling van ernstige hypoglykemie (</w:t>
      </w:r>
      <w:r w:rsidR="00096E95">
        <w:rPr>
          <w:lang w:val="nl-NL"/>
        </w:rPr>
        <w:t xml:space="preserve">zeer </w:t>
      </w:r>
      <w:r w:rsidRPr="00CF12BD">
        <w:rPr>
          <w:lang w:val="nl-NL"/>
        </w:rPr>
        <w:t xml:space="preserve">lage bloedsuiker) bij </w:t>
      </w:r>
      <w:r w:rsidR="00096E95">
        <w:rPr>
          <w:lang w:val="nl-NL"/>
        </w:rPr>
        <w:t xml:space="preserve">mensen met </w:t>
      </w:r>
      <w:r w:rsidRPr="00CF12BD">
        <w:rPr>
          <w:lang w:val="nl-NL"/>
        </w:rPr>
        <w:t xml:space="preserve">diabetes die insuline gebruiken. </w:t>
      </w:r>
      <w:r w:rsidR="00096E95" w:rsidRPr="00096E95">
        <w:rPr>
          <w:lang w:val="nl-NL"/>
        </w:rPr>
        <w:t>G</w:t>
      </w:r>
      <w:r w:rsidR="0039544A">
        <w:rPr>
          <w:lang w:val="nl-NL"/>
        </w:rPr>
        <w:t>lucagon</w:t>
      </w:r>
      <w:r w:rsidR="00096E95" w:rsidRPr="00096E95">
        <w:rPr>
          <w:lang w:val="nl-NL"/>
        </w:rPr>
        <w:t xml:space="preserve"> wordt gebruikt als zij niet in staat zijn suiker via de mond in te nemen.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  <w:r w:rsidRPr="00CF12BD">
        <w:rPr>
          <w:lang w:val="nl-NL"/>
        </w:rPr>
        <w:t xml:space="preserve">Novo Nordisk heeft onderzoek uitgevoerd waaruit bleek dat een klein aantal naalden (0,006%) los kan laten van de bijgeleverde voorgevulde spuit. Om de patiëntveiligheid te </w:t>
      </w:r>
      <w:r w:rsidR="00996A70">
        <w:rPr>
          <w:lang w:val="nl-NL"/>
        </w:rPr>
        <w:t>borgen</w:t>
      </w:r>
      <w:r w:rsidRPr="00CF12BD">
        <w:rPr>
          <w:lang w:val="nl-NL"/>
        </w:rPr>
        <w:t xml:space="preserve"> worden alle producten uit te </w:t>
      </w:r>
      <w:r w:rsidR="00996A70">
        <w:rPr>
          <w:lang w:val="nl-NL"/>
        </w:rPr>
        <w:t>betrokken</w:t>
      </w:r>
      <w:r w:rsidR="00996A70" w:rsidRPr="00CF12BD">
        <w:rPr>
          <w:lang w:val="nl-NL"/>
        </w:rPr>
        <w:t xml:space="preserve"> </w:t>
      </w:r>
      <w:r w:rsidRPr="00CF12BD">
        <w:rPr>
          <w:lang w:val="nl-NL"/>
        </w:rPr>
        <w:t xml:space="preserve">charges teruggeroepen van de Nederlandse markt. 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  <w:r w:rsidRPr="00CF12BD">
        <w:rPr>
          <w:lang w:val="nl-NL"/>
        </w:rPr>
        <w:t xml:space="preserve">Het betreft de volgende charges met bijbehorende uiterste houdbaarheidsdatum: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</w:tblGrid>
      <w:tr w:rsidR="0033039A" w:rsidRPr="007A3B68" w:rsidTr="007A3B68">
        <w:tc>
          <w:tcPr>
            <w:tcW w:w="1526" w:type="dxa"/>
          </w:tcPr>
          <w:p w:rsidR="0033039A" w:rsidRPr="007A3B68" w:rsidRDefault="0033039A" w:rsidP="0033039A">
            <w:pPr>
              <w:rPr>
                <w:b/>
                <w:lang w:val="nl-NL"/>
              </w:rPr>
            </w:pPr>
            <w:r w:rsidRPr="007A3B68">
              <w:rPr>
                <w:b/>
                <w:lang w:val="nl-NL"/>
              </w:rPr>
              <w:t xml:space="preserve">Charge </w:t>
            </w:r>
          </w:p>
        </w:tc>
        <w:tc>
          <w:tcPr>
            <w:tcW w:w="3118" w:type="dxa"/>
          </w:tcPr>
          <w:p w:rsidR="0033039A" w:rsidRPr="007A3B68" w:rsidRDefault="0033039A" w:rsidP="0033039A">
            <w:pPr>
              <w:rPr>
                <w:b/>
                <w:lang w:val="nl-NL"/>
              </w:rPr>
            </w:pPr>
            <w:r w:rsidRPr="007A3B68">
              <w:rPr>
                <w:b/>
                <w:lang w:val="nl-NL"/>
              </w:rPr>
              <w:t>Uiterste houdbaarheidsdatum</w:t>
            </w:r>
          </w:p>
        </w:tc>
      </w:tr>
      <w:tr w:rsidR="0033039A" w:rsidRPr="007A3B68" w:rsidTr="007A3B68">
        <w:tc>
          <w:tcPr>
            <w:tcW w:w="1526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FS6X119</w:t>
            </w:r>
          </w:p>
        </w:tc>
        <w:tc>
          <w:tcPr>
            <w:tcW w:w="3118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05/2018</w:t>
            </w:r>
          </w:p>
        </w:tc>
      </w:tr>
      <w:tr w:rsidR="0033039A" w:rsidRPr="007A3B68" w:rsidTr="007A3B68">
        <w:tc>
          <w:tcPr>
            <w:tcW w:w="1526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FS6X765</w:t>
            </w:r>
          </w:p>
        </w:tc>
        <w:tc>
          <w:tcPr>
            <w:tcW w:w="3118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08/2018</w:t>
            </w:r>
          </w:p>
        </w:tc>
      </w:tr>
      <w:tr w:rsidR="0033039A" w:rsidRPr="007A3B68" w:rsidTr="007A3B68">
        <w:tc>
          <w:tcPr>
            <w:tcW w:w="1526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FS6X493</w:t>
            </w:r>
          </w:p>
        </w:tc>
        <w:tc>
          <w:tcPr>
            <w:tcW w:w="3118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08/2018</w:t>
            </w:r>
          </w:p>
        </w:tc>
      </w:tr>
      <w:tr w:rsidR="0033039A" w:rsidRPr="007A3B68" w:rsidTr="007A3B68">
        <w:tc>
          <w:tcPr>
            <w:tcW w:w="1526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FS6X535</w:t>
            </w:r>
          </w:p>
        </w:tc>
        <w:tc>
          <w:tcPr>
            <w:tcW w:w="3118" w:type="dxa"/>
          </w:tcPr>
          <w:p w:rsidR="0033039A" w:rsidRPr="007A3B68" w:rsidRDefault="0033039A" w:rsidP="0033039A">
            <w:pPr>
              <w:rPr>
                <w:lang w:val="nl-NL"/>
              </w:rPr>
            </w:pPr>
            <w:r w:rsidRPr="007A3B68">
              <w:rPr>
                <w:lang w:val="nl-NL"/>
              </w:rPr>
              <w:t>08/2018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FS6W939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05/2018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FS6X059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05/2018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FS6X196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09/2018</w:t>
            </w:r>
          </w:p>
        </w:tc>
        <w:bookmarkStart w:id="0" w:name="_GoBack"/>
        <w:bookmarkEnd w:id="0"/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FS6X590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08/2018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FS6X717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08/2018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FS6X899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08/2018</w:t>
            </w:r>
          </w:p>
        </w:tc>
      </w:tr>
      <w:tr w:rsidR="007A3B68" w:rsidRPr="007A3B68" w:rsidTr="007A3B68">
        <w:tc>
          <w:tcPr>
            <w:tcW w:w="1526" w:type="dxa"/>
            <w:vAlign w:val="bottom"/>
          </w:tcPr>
          <w:p w:rsidR="007A3B68" w:rsidRPr="007A3B68" w:rsidRDefault="007A3B68" w:rsidP="00971820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FS6Y024</w:t>
            </w:r>
          </w:p>
        </w:tc>
        <w:tc>
          <w:tcPr>
            <w:tcW w:w="3118" w:type="dxa"/>
            <w:vAlign w:val="bottom"/>
          </w:tcPr>
          <w:p w:rsidR="007A3B68" w:rsidRPr="007A3B68" w:rsidRDefault="007A3B68" w:rsidP="007A3B68">
            <w:pPr>
              <w:rPr>
                <w:color w:val="000000"/>
                <w:lang w:val="en-GB" w:eastAsia="en-GB"/>
              </w:rPr>
            </w:pPr>
            <w:r w:rsidRPr="007A3B68">
              <w:rPr>
                <w:color w:val="000000"/>
                <w:lang w:val="en-GB" w:eastAsia="en-GB"/>
              </w:rPr>
              <w:t>09/2018</w:t>
            </w:r>
          </w:p>
        </w:tc>
      </w:tr>
    </w:tbl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  <w:r w:rsidRPr="00CF12BD">
        <w:rPr>
          <w:lang w:val="nl-NL"/>
        </w:rPr>
        <w:t xml:space="preserve">U kunt het chargenummer vinden op de verpakking (zie afbeelding hieronder). </w:t>
      </w:r>
    </w:p>
    <w:p w:rsidR="0033039A" w:rsidRPr="00CF12BD" w:rsidRDefault="0033039A" w:rsidP="0033039A">
      <w:pPr>
        <w:rPr>
          <w:lang w:val="nl-NL"/>
        </w:rPr>
      </w:pPr>
      <w:r w:rsidRPr="00CF12B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D55A" wp14:editId="5AE6B210">
                <wp:simplePos x="0" y="0"/>
                <wp:positionH relativeFrom="column">
                  <wp:posOffset>4766950</wp:posOffset>
                </wp:positionH>
                <wp:positionV relativeFrom="paragraph">
                  <wp:posOffset>373380</wp:posOffset>
                </wp:positionV>
                <wp:extent cx="778374" cy="793488"/>
                <wp:effectExtent l="19050" t="19050" r="41275" b="450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74" cy="79348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75.35pt;margin-top:29.4pt;width:61.3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" filled="f" strokecolor="#00b050" strokeweight="4.5pt"/>
            </w:pict>
          </mc:Fallback>
        </mc:AlternateContent>
      </w:r>
      <w:r w:rsidRPr="00CF12BD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F49FDE1" wp14:editId="349D9A6C">
            <wp:extent cx="5759450" cy="1502573"/>
            <wp:effectExtent l="0" t="0" r="0" b="2540"/>
            <wp:docPr id="1" name="Picture 1" descr="C:\Users\kvdb\AppData\Local\Microsoft\Windows\Temporary Internet Files\Content.Word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db\AppData\Local\Microsoft\Windows\Temporary Internet Files\Content.Word\IMG_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33333" r="3931" b="3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9A" w:rsidRPr="00CF12BD" w:rsidRDefault="0033039A" w:rsidP="0033039A">
      <w:pPr>
        <w:rPr>
          <w:b/>
          <w:lang w:val="nl-NL"/>
        </w:rPr>
      </w:pPr>
    </w:p>
    <w:p w:rsidR="0033039A" w:rsidRPr="00CF12BD" w:rsidRDefault="0033039A" w:rsidP="0033039A">
      <w:pPr>
        <w:rPr>
          <w:b/>
          <w:lang w:val="nl-NL"/>
        </w:rPr>
      </w:pPr>
      <w:r w:rsidRPr="00CF12BD">
        <w:rPr>
          <w:b/>
          <w:lang w:val="nl-NL"/>
        </w:rPr>
        <w:t xml:space="preserve">Wat moet u doen? </w:t>
      </w:r>
    </w:p>
    <w:p w:rsidR="0033039A" w:rsidRPr="00CF12BD" w:rsidRDefault="0033039A" w:rsidP="0033039A">
      <w:pPr>
        <w:rPr>
          <w:b/>
          <w:lang w:val="nl-NL"/>
        </w:rPr>
      </w:pPr>
      <w:r w:rsidRPr="00CF12BD">
        <w:rPr>
          <w:b/>
          <w:lang w:val="nl-NL"/>
        </w:rPr>
        <w:t>Glucagon wordt gebruik bij ernstige hypoglykemie (</w:t>
      </w:r>
      <w:r w:rsidR="00096E95">
        <w:rPr>
          <w:b/>
          <w:lang w:val="nl-NL"/>
        </w:rPr>
        <w:t xml:space="preserve">zeer </w:t>
      </w:r>
      <w:r w:rsidRPr="00CF12BD">
        <w:rPr>
          <w:b/>
          <w:lang w:val="nl-NL"/>
        </w:rPr>
        <w:t xml:space="preserve">lage bloedsuiker), wanneer u zelf niet meer in staat bent om suiker in te nemen. Het is daarom van groot belang dat u beschikt over een goed werkende </w:t>
      </w:r>
      <w:proofErr w:type="spellStart"/>
      <w:r w:rsidRPr="00CF12BD">
        <w:rPr>
          <w:b/>
          <w:lang w:val="nl-NL"/>
        </w:rPr>
        <w:t>GlucaGen</w:t>
      </w:r>
      <w:proofErr w:type="spellEnd"/>
      <w:r w:rsidRPr="00CF12BD">
        <w:rPr>
          <w:b/>
          <w:vertAlign w:val="superscript"/>
          <w:lang w:val="nl-NL"/>
        </w:rPr>
        <w:t>®</w:t>
      </w:r>
      <w:r w:rsidRPr="00CF12BD">
        <w:rPr>
          <w:b/>
          <w:lang w:val="nl-NL"/>
        </w:rPr>
        <w:t xml:space="preserve"> </w:t>
      </w:r>
      <w:proofErr w:type="spellStart"/>
      <w:r w:rsidRPr="00CF12BD">
        <w:rPr>
          <w:b/>
          <w:lang w:val="nl-NL"/>
        </w:rPr>
        <w:t>HypoKit</w:t>
      </w:r>
      <w:proofErr w:type="spellEnd"/>
      <w:r w:rsidRPr="00CF12BD">
        <w:rPr>
          <w:b/>
          <w:lang w:val="nl-NL"/>
        </w:rPr>
        <w:t xml:space="preserve">. Wij vragen u daarom om het chargenummer op uw verpakking goed te controleren. Als u een verpakking heeft met een van de bovengenoemde chargenummers moet u deze terug brengen naar uw apotheek. Uw apotheker zal de verpakking kosteloos voor u omruilen. </w:t>
      </w:r>
    </w:p>
    <w:p w:rsidR="0033039A" w:rsidRPr="00CF12BD" w:rsidRDefault="0033039A" w:rsidP="0033039A">
      <w:pPr>
        <w:rPr>
          <w:b/>
          <w:lang w:val="nl-NL"/>
        </w:rPr>
      </w:pPr>
    </w:p>
    <w:p w:rsidR="00D26283" w:rsidRPr="00CF12BD" w:rsidRDefault="0033039A" w:rsidP="0033039A">
      <w:pPr>
        <w:rPr>
          <w:lang w:val="nl-NL"/>
        </w:rPr>
      </w:pPr>
      <w:r w:rsidRPr="00CF12BD">
        <w:rPr>
          <w:lang w:val="nl-NL"/>
        </w:rPr>
        <w:t xml:space="preserve">Als u een </w:t>
      </w:r>
      <w:proofErr w:type="spellStart"/>
      <w:r w:rsidRPr="00CF12BD">
        <w:rPr>
          <w:lang w:val="nl-NL"/>
        </w:rPr>
        <w:t>GlucaGen</w:t>
      </w:r>
      <w:proofErr w:type="spellEnd"/>
      <w:r w:rsidRPr="00CF12BD">
        <w:rPr>
          <w:vertAlign w:val="superscript"/>
          <w:lang w:val="nl-NL"/>
        </w:rPr>
        <w:t>®</w:t>
      </w:r>
      <w:r w:rsidRPr="00CF12BD">
        <w:rPr>
          <w:lang w:val="nl-NL"/>
        </w:rPr>
        <w:t xml:space="preserve"> </w:t>
      </w:r>
      <w:proofErr w:type="spellStart"/>
      <w:r w:rsidRPr="00CF12BD">
        <w:rPr>
          <w:lang w:val="nl-NL"/>
        </w:rPr>
        <w:t>HypoKit</w:t>
      </w:r>
      <w:proofErr w:type="spellEnd"/>
      <w:r w:rsidRPr="00CF12BD">
        <w:rPr>
          <w:lang w:val="nl-NL"/>
        </w:rPr>
        <w:t xml:space="preserve"> heeft met een ander chargenummer dan de nummers die hierboven staan is er geen reden tot bezorgdheid. U kunt er vanuit gaan dat naald goed op de voorgevulde spuit zit en dat u deze verpakking veilig kunt gebruiken. U hoeft deze verpakking dus niet terug te brengen naar de apotheek. 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lang w:val="nl-NL"/>
        </w:rPr>
      </w:pPr>
      <w:r w:rsidRPr="00CF12BD">
        <w:rPr>
          <w:lang w:val="nl-NL"/>
        </w:rPr>
        <w:t xml:space="preserve">Met vriendelijke groet, 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2D3ADD" w:rsidP="0033039A">
      <w:pPr>
        <w:rPr>
          <w:lang w:val="nl-NL"/>
        </w:rPr>
      </w:pPr>
      <w:r>
        <w:rPr>
          <w:lang w:val="nl-NL"/>
        </w:rPr>
        <w:t>Uw apotheker</w:t>
      </w:r>
    </w:p>
    <w:p w:rsidR="0033039A" w:rsidRPr="00CF12BD" w:rsidRDefault="0033039A" w:rsidP="0033039A">
      <w:pPr>
        <w:rPr>
          <w:lang w:val="nl-NL"/>
        </w:rPr>
      </w:pPr>
    </w:p>
    <w:p w:rsidR="0033039A" w:rsidRPr="00CF12BD" w:rsidRDefault="0033039A" w:rsidP="0033039A">
      <w:pPr>
        <w:rPr>
          <w:b/>
          <w:lang w:val="nl-NL"/>
        </w:rPr>
      </w:pPr>
    </w:p>
    <w:p w:rsidR="00725D98" w:rsidRPr="00CF12BD" w:rsidRDefault="002D3ADD" w:rsidP="002D3ADD">
      <w:pPr>
        <w:tabs>
          <w:tab w:val="left" w:pos="2797"/>
        </w:tabs>
        <w:rPr>
          <w:lang w:val="nl-NL"/>
        </w:rPr>
      </w:pPr>
      <w:r>
        <w:rPr>
          <w:lang w:val="nl-NL"/>
        </w:rPr>
        <w:tab/>
      </w:r>
    </w:p>
    <w:sectPr w:rsidR="00725D98" w:rsidRPr="00CF12BD" w:rsidSect="00DB0C2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56" w:rsidRDefault="00A92F56">
      <w:r>
        <w:separator/>
      </w:r>
    </w:p>
  </w:endnote>
  <w:endnote w:type="continuationSeparator" w:id="0">
    <w:p w:rsidR="00A92F56" w:rsidRDefault="00A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56" w:rsidRDefault="00A92F56">
      <w:r>
        <w:separator/>
      </w:r>
    </w:p>
  </w:footnote>
  <w:footnote w:type="continuationSeparator" w:id="0">
    <w:p w:rsidR="00A92F56" w:rsidRDefault="00A9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9A"/>
    <w:rsid w:val="00070B01"/>
    <w:rsid w:val="00096E95"/>
    <w:rsid w:val="00133DCA"/>
    <w:rsid w:val="001972FE"/>
    <w:rsid w:val="001D11BF"/>
    <w:rsid w:val="002D3ADD"/>
    <w:rsid w:val="00317A82"/>
    <w:rsid w:val="0033039A"/>
    <w:rsid w:val="0039544A"/>
    <w:rsid w:val="00623F1E"/>
    <w:rsid w:val="0069221D"/>
    <w:rsid w:val="00725D98"/>
    <w:rsid w:val="007A3B68"/>
    <w:rsid w:val="0080378C"/>
    <w:rsid w:val="00996A70"/>
    <w:rsid w:val="00A300A8"/>
    <w:rsid w:val="00A92F56"/>
    <w:rsid w:val="00BB76CB"/>
    <w:rsid w:val="00CF12BD"/>
    <w:rsid w:val="00D41D4F"/>
    <w:rsid w:val="00DB0C2C"/>
    <w:rsid w:val="00EA5F4E"/>
    <w:rsid w:val="00E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3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9A"/>
    <w:rPr>
      <w:rFonts w:ascii="Tahoma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09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95"/>
    <w:rPr>
      <w:rFonts w:ascii="Arial" w:hAnsi="Arial" w:cs="Arial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95"/>
    <w:rPr>
      <w:rFonts w:ascii="Arial" w:hAnsi="Arial" w:cs="Arial"/>
      <w:b/>
      <w:bCs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3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9A"/>
    <w:rPr>
      <w:rFonts w:ascii="Tahoma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09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95"/>
    <w:rPr>
      <w:rFonts w:ascii="Arial" w:hAnsi="Arial" w:cs="Arial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95"/>
    <w:rPr>
      <w:rFonts w:ascii="Arial" w:hAnsi="Arial" w:cs="Arial"/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KVDB (Kim Van den Berg)</dc:creator>
  <cp:lastModifiedBy>KVDB (Kim Van den Berg)</cp:lastModifiedBy>
  <cp:revision>4</cp:revision>
  <dcterms:created xsi:type="dcterms:W3CDTF">2016-09-06T09:55:00Z</dcterms:created>
  <dcterms:modified xsi:type="dcterms:W3CDTF">2016-09-07T07:56:00Z</dcterms:modified>
</cp:coreProperties>
</file>